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29111501-nt10q_richtech.htm"/>
      <w:bookmarkStart w:id="1" w:name="ksea029111501nt10q_richtech"/>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ind w:left="0" w:right="0" w:firstLine="72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March 31, 2026</w:t>
        <w:tab/>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ab/>
      </w:r>
    </w:p>
    <w:p>
      <w:pPr>
        <w:pStyle w:val="TextBody"/>
        <w:bidi w:val="0"/>
        <w:ind w:left="720" w:right="0" w:firstLine="720"/>
        <w:jc w:val="left"/>
        <w:rPr>
          <w:caps w:val="false"/>
          <w:smallCaps w:val="false"/>
        </w:rPr>
      </w:pPr>
      <w:r>
        <w:rPr>
          <w:caps w:val="false"/>
          <w:smallCaps w:val="false"/>
        </w:rPr>
        <w:t> </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extBody"/>
        <w:bidi w:val="0"/>
        <w:ind w:left="720" w:right="0" w:firstLine="72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Instructions (on back page) Before Preparing Form. Please Print or Type.</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3080"/>
        <w:gridCol w:w="1910"/>
      </w:tblGrid>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 of Registrant:</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Richtech Robotics Inc.</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Name if Applicable:</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w:t>
            </w:r>
          </w:p>
        </w:tc>
      </w:tr>
      <w:tr>
        <w:trPr/>
        <w:tc>
          <w:tcPr>
            <w:tcW w:w="308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Address of Principal Executive Office</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(Street and Number):</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2975 Lincoln Rd</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 and Zip Code:</w:t>
              <w:tab/>
              <w:t>                </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Las Vegas, NV 89115</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center"/>
              <w:rPr/>
            </w:pPr>
            <w:r>
              <w:rPr/>
              <w:t>☒</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F1F"/>
          <w:sz w:val="20"/>
        </w:rPr>
        <w:t>State below in reasonable detail why Forms 10-K, 20-F, 11-K, 10-Q, 10-D, N-CEN, N-CSR, or the transition report or portion thereof, could not be filed within the prescribed time period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unable to file its Form 10-Q for the period ended March 31, 2026 within the prescribed time period without unreasonable effort or expense because the Registrant’s accounting staff needs additional time to finalize the financial statements for the period ended March 31, 2026. The Registrant anticipates that it will file its Form 10-Q within the five-day grace period provided by Rule 12b-25 of the Securities Exchange Act of 1934, as amended.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--OTHER INFORMATION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ind w:left="4464" w:right="4464" w:firstLine="72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345"/>
        <w:gridCol w:w="60"/>
        <w:gridCol w:w="995"/>
        <w:gridCol w:w="60"/>
        <w:gridCol w:w="1715"/>
      </w:tblGrid>
      <w:tr>
        <w:trPr/>
        <w:tc>
          <w:tcPr>
            <w:tcW w:w="2345" w:type="dxa"/>
            <w:tcBorders/>
            <w:vAlign w:val="center"/>
          </w:tcPr>
          <w:p>
            <w:pPr>
              <w:pStyle w:val="TableContents"/>
              <w:bidi w:val="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283"/>
              <w:jc w:val="center"/>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Zhenqiang (Michael) Huang</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283"/>
              <w:jc w:val="center"/>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866</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236-3835</w:t>
            </w:r>
          </w:p>
        </w:tc>
      </w:tr>
      <w:tr>
        <w:trPr/>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ind w:left="4464" w:right="4464"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extBody"/>
        <w:bidi w:val="0"/>
        <w:ind w:left="0" w:right="0" w:firstLine="72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ind w:left="0" w:right="0" w:firstLine="720"/>
        <w:jc w:val="right"/>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Yes  ☐ No</w:t>
      </w:r>
    </w:p>
    <w:p>
      <w:pPr>
        <w:pStyle w:val="TextBody"/>
        <w:bidi w:val="0"/>
        <w:ind w:left="0" w:right="0" w:firstLine="72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For the six months ended March 31, 2026, the Company expects to report net revenue of approximately $2.6 million, compared to $2.4 million for the same period in the prior year. For the three months ended March 31, 2026, net revenue is expected to be approximately $1.4 million, compared to $1.2 million for the same period in the prior year. The amounts reported above are still under review by the Registrant’s independent registered public accounting firm and accounting staff and may differ once reported in the Form 10-Q to be filed by the Registrant.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740"/>
        <w:gridCol w:w="75"/>
      </w:tblGrid>
      <w:tr>
        <w:trPr/>
        <w:tc>
          <w:tcPr>
            <w:tcW w:w="75" w:type="dxa"/>
            <w:tcBorders/>
            <w:vAlign w:val="center"/>
          </w:tcPr>
          <w:p>
            <w:pPr>
              <w:pStyle w:val="TableContents"/>
              <w:bidi w:val="0"/>
              <w:spacing w:before="0" w:after="283"/>
              <w:jc w:val="left"/>
              <w:rPr/>
            </w:pPr>
            <w:r>
              <w:rPr/>
              <w:t> </w:t>
            </w:r>
          </w:p>
        </w:tc>
        <w:tc>
          <w:tcPr>
            <w:tcW w:w="3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Richtech Robotics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jc w:val="both"/>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655"/>
        <w:gridCol w:w="320"/>
        <w:gridCol w:w="189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Zhenqiang Huang</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Zhenqiang Huang</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715</Words>
  <Characters>3640</Characters>
  <CharactersWithSpaces>4384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